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9F4E4">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rPr>
        <w:t>SiDoTek™</w:t>
      </w:r>
      <w:r>
        <w:rPr>
          <w:rFonts w:hint="default" w:ascii="Times New Roman" w:hAnsi="Times New Roman" w:cs="Times New Roman" w:eastAsiaTheme="minorEastAsia"/>
          <w:b/>
          <w:bCs/>
          <w:sz w:val="32"/>
          <w:szCs w:val="32"/>
          <w:lang w:eastAsia="zh-CN"/>
        </w:rPr>
        <w:t xml:space="preserve"> </w:t>
      </w:r>
      <w:bookmarkStart w:id="0" w:name="_GoBack"/>
      <w:r>
        <w:rPr>
          <w:rFonts w:hint="default" w:ascii="Times New Roman" w:hAnsi="Times New Roman" w:cs="Times New Roman" w:eastAsiaTheme="minorEastAsia"/>
          <w:b/>
          <w:bCs/>
          <w:sz w:val="32"/>
          <w:szCs w:val="32"/>
          <w:lang w:eastAsia="zh-CN"/>
        </w:rPr>
        <w:t>成人脂肪间充质干细胞</w:t>
      </w:r>
      <w:bookmarkEnd w:id="0"/>
    </w:p>
    <w:p w14:paraId="77F3F2BF">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lang w:eastAsia="zh-CN"/>
        </w:rPr>
        <w:t>产品货号：AMSC1002</w:t>
      </w:r>
    </w:p>
    <w:p w14:paraId="11768199">
      <w:pPr>
        <w:tabs>
          <w:tab w:val="left" w:pos="2496"/>
        </w:tabs>
        <w:spacing w:line="360" w:lineRule="auto"/>
        <w:rPr>
          <w:rFonts w:hint="default" w:ascii="Times New Roman" w:hAnsi="Times New Roman" w:cs="Times New Roman" w:eastAsiaTheme="minorEastAsia"/>
          <w:sz w:val="21"/>
          <w:szCs w:val="21"/>
          <w:lang w:eastAsia="zh-CN"/>
        </w:rPr>
      </w:pPr>
    </w:p>
    <w:p w14:paraId="47A7134E">
      <w:pPr>
        <w:tabs>
          <w:tab w:val="left" w:pos="2496"/>
        </w:tabs>
        <w:spacing w:line="360" w:lineRule="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b/>
          <w:bCs/>
          <w:sz w:val="21"/>
          <w:szCs w:val="21"/>
          <w:lang w:eastAsia="zh-CN"/>
        </w:rPr>
        <w:t>产品介绍</w:t>
      </w:r>
    </w:p>
    <w:p w14:paraId="03B6A040">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脂肪间充质干细胞是一类存在于脂肪基质中的多能干细胞。因其具有强大的</w:t>
      </w:r>
      <w:r>
        <w:rPr>
          <w:rFonts w:hint="default" w:ascii="Times New Roman" w:hAnsi="Times New Roman" w:cs="Times New Roman" w:eastAsiaTheme="minorEastAsia"/>
          <w:sz w:val="21"/>
          <w:szCs w:val="21"/>
          <w:lang w:val="en-US" w:eastAsia="zh-CN"/>
        </w:rPr>
        <w:t>增殖</w:t>
      </w:r>
      <w:r>
        <w:rPr>
          <w:rFonts w:hint="default" w:ascii="Times New Roman" w:hAnsi="Times New Roman" w:cs="Times New Roman" w:eastAsiaTheme="minorEastAsia"/>
          <w:sz w:val="21"/>
          <w:szCs w:val="21"/>
          <w:lang w:eastAsia="zh-CN"/>
        </w:rPr>
        <w:t>能力和免疫调节功能，被广泛应用于组织工程、细胞治疗和基因治疗领域。成人脂肪间充质干细胞作为一个研究热点被广泛应用于再生医学和组织工程，特别是在骨、心血管和神经系统等疾病领域。SiDoTek™</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成人脂肪间充质干细胞提取自健康的成人脂肪组织，拥有强大的增殖和多向分化能力。可作为细胞模型应用于增殖、衰老、免疫、分化和移植研究。</w:t>
      </w:r>
    </w:p>
    <w:p w14:paraId="47030631">
      <w:pPr>
        <w:tabs>
          <w:tab w:val="left" w:pos="2496"/>
        </w:tabs>
        <w:spacing w:line="360" w:lineRule="auto"/>
        <w:ind w:firstLine="422" w:firstLineChars="200"/>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eastAsia="zh-CN"/>
        </w:rPr>
        <w:t>注意：本产品仅提供给进一步科研使用，不可用于临床治疗等其他用途。</w:t>
      </w:r>
    </w:p>
    <w:p w14:paraId="4E00491F">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p>
    <w:p w14:paraId="5DD8C087">
      <w:pPr>
        <w:tabs>
          <w:tab w:val="left" w:pos="2496"/>
        </w:tabs>
        <w:spacing w:line="360" w:lineRule="auto"/>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val="en-US" w:eastAsia="zh-CN"/>
        </w:rPr>
        <w:t>产品信息</w:t>
      </w:r>
    </w:p>
    <w:tbl>
      <w:tblPr>
        <w:tblStyle w:val="6"/>
        <w:tblW w:w="7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5649"/>
      </w:tblGrid>
      <w:tr w14:paraId="3F37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74F1FD04">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产品名称</w:t>
            </w:r>
          </w:p>
        </w:tc>
        <w:tc>
          <w:tcPr>
            <w:tcW w:w="5649" w:type="dxa"/>
            <w:vAlign w:val="top"/>
          </w:tcPr>
          <w:p w14:paraId="356735E3">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eastAsia="zh-CN"/>
              </w:rPr>
              <w:t>SiDoTek™</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kern w:val="2"/>
                <w:sz w:val="21"/>
                <w:szCs w:val="21"/>
                <w:lang w:val="en-US" w:eastAsia="zh-CN" w:bidi="ar-SA"/>
              </w:rPr>
              <w:t>成人脂肪间充质干细胞</w:t>
            </w:r>
          </w:p>
        </w:tc>
      </w:tr>
      <w:tr w14:paraId="4214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50FE2CC6">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货号</w:t>
            </w:r>
          </w:p>
        </w:tc>
        <w:tc>
          <w:tcPr>
            <w:tcW w:w="5649" w:type="dxa"/>
            <w:vAlign w:val="top"/>
          </w:tcPr>
          <w:p w14:paraId="06C58877">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AMSC1002</w:t>
            </w:r>
          </w:p>
        </w:tc>
      </w:tr>
      <w:tr w14:paraId="0C7D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6C721AF5">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规格</w:t>
            </w:r>
          </w:p>
        </w:tc>
        <w:tc>
          <w:tcPr>
            <w:tcW w:w="5649" w:type="dxa"/>
            <w:vAlign w:val="top"/>
          </w:tcPr>
          <w:p w14:paraId="7946A401">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1×10</w:t>
            </w:r>
            <w:r>
              <w:rPr>
                <w:rFonts w:hint="default" w:ascii="Times New Roman" w:hAnsi="Times New Roman" w:cs="Times New Roman" w:eastAsiaTheme="minorEastAsia"/>
                <w:kern w:val="2"/>
                <w:sz w:val="21"/>
                <w:szCs w:val="21"/>
                <w:vertAlign w:val="superscript"/>
                <w:lang w:val="en-US" w:eastAsia="zh-CN" w:bidi="ar-SA"/>
              </w:rPr>
              <w:t>6</w:t>
            </w:r>
            <w:r>
              <w:rPr>
                <w:rFonts w:hint="default" w:ascii="Times New Roman" w:hAnsi="Times New Roman" w:cs="Times New Roman" w:eastAsiaTheme="minorEastAsia"/>
                <w:kern w:val="2"/>
                <w:sz w:val="21"/>
                <w:szCs w:val="21"/>
                <w:lang w:val="en-US" w:eastAsia="zh-CN" w:bidi="ar-SA"/>
              </w:rPr>
              <w:t>个/管 或 1×10</w:t>
            </w:r>
            <w:r>
              <w:rPr>
                <w:rFonts w:hint="default" w:ascii="Times New Roman" w:hAnsi="Times New Roman" w:cs="Times New Roman" w:eastAsiaTheme="minorEastAsia"/>
                <w:kern w:val="2"/>
                <w:sz w:val="21"/>
                <w:szCs w:val="21"/>
                <w:vertAlign w:val="superscript"/>
                <w:lang w:val="en-US" w:eastAsia="zh-CN" w:bidi="ar-SA"/>
              </w:rPr>
              <w:t>6</w:t>
            </w:r>
            <w:r>
              <w:rPr>
                <w:rFonts w:hint="default" w:ascii="Times New Roman" w:hAnsi="Times New Roman" w:cs="Times New Roman" w:eastAsiaTheme="minorEastAsia"/>
                <w:kern w:val="2"/>
                <w:sz w:val="21"/>
                <w:szCs w:val="21"/>
                <w:lang w:val="en-US" w:eastAsia="zh-CN" w:bidi="ar-SA"/>
              </w:rPr>
              <w:t>个/瓶</w:t>
            </w:r>
          </w:p>
        </w:tc>
      </w:tr>
      <w:tr w14:paraId="344C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10B1CA83">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冻存代次</w:t>
            </w:r>
          </w:p>
        </w:tc>
        <w:tc>
          <w:tcPr>
            <w:tcW w:w="5649" w:type="dxa"/>
            <w:vAlign w:val="top"/>
          </w:tcPr>
          <w:p w14:paraId="20006B87">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P2</w:t>
            </w:r>
          </w:p>
        </w:tc>
      </w:tr>
      <w:tr w14:paraId="6E5F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32634DFB">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保存条件</w:t>
            </w:r>
          </w:p>
        </w:tc>
        <w:tc>
          <w:tcPr>
            <w:tcW w:w="5649" w:type="dxa"/>
            <w:vAlign w:val="top"/>
          </w:tcPr>
          <w:p w14:paraId="3474DEE8">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液氮（-196℃)</w:t>
            </w:r>
          </w:p>
        </w:tc>
      </w:tr>
    </w:tbl>
    <w:p w14:paraId="43327B18">
      <w:pPr>
        <w:tabs>
          <w:tab w:val="left" w:pos="2496"/>
        </w:tabs>
        <w:spacing w:line="360" w:lineRule="auto"/>
        <w:rPr>
          <w:rFonts w:hint="default" w:ascii="Times New Roman" w:hAnsi="Times New Roman" w:cs="Times New Roman" w:eastAsiaTheme="minorEastAsia"/>
          <w:sz w:val="21"/>
          <w:szCs w:val="21"/>
          <w:lang w:val="en-US" w:eastAsia="zh-CN"/>
        </w:rPr>
      </w:pPr>
    </w:p>
    <w:p w14:paraId="156F6978">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质量控制</w:t>
      </w:r>
    </w:p>
    <w:p w14:paraId="33DD8D92">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通过细菌、真菌、支原体、内毒素检测。</w:t>
      </w:r>
    </w:p>
    <w:p w14:paraId="5BD5AB98">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通过细胞复苏活力检测，复苏存活率&gt;80%。</w:t>
      </w:r>
    </w:p>
    <w:p w14:paraId="197DEDFB">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通过细胞周期检测，倍增周期&lt;72 h。</w:t>
      </w:r>
    </w:p>
    <w:p w14:paraId="5D64A246">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通过流式检测，CD29、CD44、CD73、CD105为阳性（&gt;70%）；CD34、CD45、CD11b为阴性（&lt;5%）。</w:t>
      </w:r>
    </w:p>
    <w:p w14:paraId="7C2E685B">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具有良好的分化能力，可经诱导分化为成骨细胞、脂肪细胞、软骨细胞等</w:t>
      </w:r>
    </w:p>
    <w:p w14:paraId="1DC255E9">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p>
    <w:p w14:paraId="7481D583">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处理原则</w:t>
      </w:r>
    </w:p>
    <w:p w14:paraId="648700FF">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严格的无菌环境。务必保证实验室整体、超净台和培养箱的清洁。</w:t>
      </w:r>
    </w:p>
    <w:p w14:paraId="580A613E">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规范的操作方式。请按照产品说明书描述的方式操作，严格控制变量，做好对照实验。</w:t>
      </w:r>
    </w:p>
    <w:p w14:paraId="111271A6">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需要合适的、质量可靠的实验耗材和试剂。本产品需使用适合贴壁细胞生长的培养容器，且不建议重复使用。使用的试剂必须经验证可靠，适宜细胞生长且批间差异小。</w:t>
      </w:r>
    </w:p>
    <w:p w14:paraId="22F9840F">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脂肪间充质干细胞在体外增殖能力有限，且不能长期保持分化潜能。基于丰富的细胞培养经验和性能优异的培养体系，</w:t>
      </w:r>
      <w:r>
        <w:rPr>
          <w:rFonts w:hint="default" w:ascii="Times New Roman" w:hAnsi="Times New Roman" w:cs="Times New Roman" w:eastAsiaTheme="minorEastAsia"/>
          <w:sz w:val="21"/>
          <w:szCs w:val="21"/>
          <w:lang w:eastAsia="zh-CN"/>
        </w:rPr>
        <w:t>SiDoTek™</w:t>
      </w:r>
      <w:r>
        <w:rPr>
          <w:rFonts w:hint="default" w:ascii="Times New Roman" w:hAnsi="Times New Roman" w:cs="Times New Roman" w:eastAsiaTheme="minorEastAsia"/>
          <w:sz w:val="21"/>
          <w:szCs w:val="21"/>
          <w:lang w:val="en-US" w:eastAsia="zh-CN"/>
        </w:rPr>
        <w:t xml:space="preserve"> 成人脂肪间充质干细胞可在体外传代5次以上依然保持各项指标合格。但我们始终建议尽可能使用较低代次细胞进行科研工作。</w:t>
      </w:r>
    </w:p>
    <w:p w14:paraId="7C0235E6">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通常成人脂肪间充质干细胞接种密度为（2.5~4）×10</w:t>
      </w:r>
      <w:r>
        <w:rPr>
          <w:rFonts w:hint="default" w:ascii="Times New Roman" w:hAnsi="Times New Roman" w:cs="Times New Roman" w:eastAsiaTheme="minorEastAsia"/>
          <w:sz w:val="21"/>
          <w:szCs w:val="21"/>
          <w:vertAlign w:val="superscript"/>
          <w:lang w:val="en-US" w:eastAsia="zh-CN"/>
        </w:rPr>
        <w:t>4</w:t>
      </w:r>
      <w:r>
        <w:rPr>
          <w:rFonts w:hint="default" w:ascii="Times New Roman" w:hAnsi="Times New Roman" w:cs="Times New Roman" w:eastAsiaTheme="minorEastAsia"/>
          <w:sz w:val="21"/>
          <w:szCs w:val="21"/>
          <w:lang w:val="en-US" w:eastAsia="zh-CN"/>
        </w:rPr>
        <w:t>个活细胞/cm</w:t>
      </w:r>
      <w:r>
        <w:rPr>
          <w:rFonts w:hint="default" w:ascii="Times New Roman" w:hAnsi="Times New Roman" w:cs="Times New Roman" w:eastAsiaTheme="minorEastAsia"/>
          <w:sz w:val="21"/>
          <w:szCs w:val="21"/>
          <w:vertAlign w:val="superscript"/>
          <w:lang w:val="en-US" w:eastAsia="zh-CN"/>
        </w:rPr>
        <w:t>2</w:t>
      </w:r>
      <w:r>
        <w:rPr>
          <w:rFonts w:hint="default" w:ascii="Times New Roman" w:hAnsi="Times New Roman" w:cs="Times New Roman" w:eastAsiaTheme="minorEastAsia"/>
          <w:sz w:val="21"/>
          <w:szCs w:val="21"/>
          <w:lang w:val="en-US" w:eastAsia="zh-CN"/>
        </w:rPr>
        <w:t>。该细胞的生长与供体自身特性和后续培养体系的关系极大。我们建议根据各批次、各代次实际生长情况按比例传代培养。</w:t>
      </w:r>
    </w:p>
    <w:p w14:paraId="30B4A6DC">
      <w:pPr>
        <w:numPr>
          <w:ilvl w:val="0"/>
          <w:numId w:val="0"/>
        </w:num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注意：本产品冻存液中含有DMSO，其具有潜在风险，请谨慎处理。</w:t>
      </w:r>
    </w:p>
    <w:p w14:paraId="78C8F2E8">
      <w:pPr>
        <w:tabs>
          <w:tab w:val="left" w:pos="2496"/>
        </w:tabs>
        <w:spacing w:line="360" w:lineRule="auto"/>
        <w:rPr>
          <w:rFonts w:hint="default" w:ascii="Times New Roman" w:hAnsi="Times New Roman" w:cs="Times New Roman" w:eastAsiaTheme="minorEastAsia"/>
          <w:sz w:val="21"/>
          <w:szCs w:val="21"/>
          <w:lang w:val="en-US" w:eastAsia="zh-CN"/>
        </w:rPr>
      </w:pPr>
    </w:p>
    <w:p w14:paraId="34EA3873">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细胞的复苏和培养</w:t>
      </w:r>
    </w:p>
    <w:p w14:paraId="2E5FB783">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5E490A40">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成人脂肪间充质干细胞</w:t>
      </w:r>
    </w:p>
    <w:p w14:paraId="005C664C">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成人脂肪间充质干细胞完全培养基（货号：SD-HUXMD-01001，以下简称完全培养基）</w:t>
      </w:r>
    </w:p>
    <w:p w14:paraId="5C9F0E3B">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2A55A054">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注意：收到的细胞如24 h内复苏，可存放于-80℃冰箱；超过24 h请存放于液氮中，复苏前10 min取出，放于-80℃ , 让管中液氮挥发。</w:t>
      </w:r>
    </w:p>
    <w:p w14:paraId="1229E028">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水浴锅37℃预热。</w:t>
      </w:r>
    </w:p>
    <w:p w14:paraId="401CD529">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完全培养基温浴到37℃。</w:t>
      </w:r>
    </w:p>
    <w:p w14:paraId="54BFC326">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在15 mL离心管中加入5 mL以上完全培养基备用。</w:t>
      </w:r>
    </w:p>
    <w:p w14:paraId="78C11AC9">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从-80℃冰箱中取出细胞，放入37℃水浴锅中，快速晃动，使冻存液迅速融化。</w:t>
      </w:r>
    </w:p>
    <w:p w14:paraId="2298EC83">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 融化过程必须晃动冻存管，保证冻存液融化迅速、均匀；晃动时应避免水没过管盖造成污染；管内冻存液融化至只剩一个约2 mm直径的冰晶时，即停止水浴。继续晃动冻存管，至冰晶融化。</w:t>
      </w:r>
    </w:p>
    <w:p w14:paraId="79DD69FF">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用75%医用酒精擦拭冻存管外表面。</w:t>
      </w:r>
    </w:p>
    <w:p w14:paraId="2F101C92">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在超净台中打开冻存管，用巴氏吸管或移液枪吸取细胞冻存悬液，转移至先前准备的离心管中。</w:t>
      </w:r>
    </w:p>
    <w:p w14:paraId="62568C35">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用1 mL完全培养基洗涤冻存管1次，收集残留细胞，减少损失。</w:t>
      </w:r>
    </w:p>
    <w:p w14:paraId="3A77D937">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细胞悬液以250×g离心4 min。</w:t>
      </w:r>
    </w:p>
    <w:p w14:paraId="351FC4EA">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注意：请以公式a=ω</w:t>
      </w:r>
      <w:r>
        <w:rPr>
          <w:rFonts w:hint="default" w:ascii="Times New Roman" w:hAnsi="Times New Roman" w:cs="Times New Roman" w:eastAsiaTheme="minorEastAsia"/>
          <w:b/>
          <w:bCs/>
          <w:sz w:val="21"/>
          <w:szCs w:val="21"/>
          <w:vertAlign w:val="superscript"/>
          <w:lang w:val="en-US" w:eastAsia="zh-CN"/>
        </w:rPr>
        <w:t>2</w:t>
      </w:r>
      <w:r>
        <w:rPr>
          <w:rFonts w:hint="default" w:ascii="Times New Roman" w:hAnsi="Times New Roman" w:cs="Times New Roman" w:eastAsiaTheme="minorEastAsia"/>
          <w:b/>
          <w:bCs/>
          <w:sz w:val="21"/>
          <w:szCs w:val="21"/>
          <w:lang w:val="en-US" w:eastAsia="zh-CN"/>
        </w:rPr>
        <w:t xml:space="preserve"> r（a:向心加速度；ω:旋转角速度，ω=πn/30；r:转子半径）计算相应转速。</w:t>
      </w:r>
    </w:p>
    <w:p w14:paraId="4C4E93E9">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离心后去除上清。加入2 mL完全培养基，轻柔吹打细胞沉淀，充分吹散、混匀。</w:t>
      </w:r>
    </w:p>
    <w:p w14:paraId="3723B77E">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将细胞平均接种到1个T25培养瓶或底面积相当的培养容器中。 加入足量完全培养基， 1个T25培养瓶中培养基总量不少于5 mL。</w:t>
      </w:r>
    </w:p>
    <w:p w14:paraId="4448E07E">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摇匀细胞，放入37℃、5% 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饱和湿度的CO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培养箱中。</w:t>
      </w:r>
    </w:p>
    <w:p w14:paraId="7FA0B703">
      <w:pPr>
        <w:widowControl w:val="0"/>
        <w:numPr>
          <w:ilvl w:val="0"/>
          <w:numId w:val="0"/>
        </w:numPr>
        <w:tabs>
          <w:tab w:val="left" w:pos="2496"/>
        </w:tabs>
        <w:spacing w:line="360" w:lineRule="auto"/>
        <w:ind w:leftChars="0"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注意：接种2 h内不可移动、观察细胞。这会严重影响细胞贴壁，造成状态不佳、细胞聚团、贴壁不均匀等情况。</w:t>
      </w:r>
    </w:p>
    <w:p w14:paraId="2651E53F">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复苏次日，观察细胞状态，并更换新鲜的完全培养基或传代。</w:t>
      </w:r>
    </w:p>
    <w:p w14:paraId="7ECB2AD8">
      <w:pPr>
        <w:widowControl w:val="0"/>
        <w:numPr>
          <w:ilvl w:val="0"/>
          <w:numId w:val="0"/>
        </w:numPr>
        <w:tabs>
          <w:tab w:val="left" w:pos="2496"/>
        </w:tabs>
        <w:spacing w:line="360" w:lineRule="auto"/>
        <w:ind w:leftChars="0" w:firstLine="422"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注意：若发现较多漂浮细胞或其他异常情况，应及时排查原因，并与我们联系。</w:t>
      </w:r>
    </w:p>
    <w:p w14:paraId="73630537">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之后每 2 天更换一次完全培养基，直到细胞生长至90%汇合，即需传代。</w:t>
      </w:r>
    </w:p>
    <w:p w14:paraId="7A993EBC">
      <w:pPr>
        <w:widowControl w:val="0"/>
        <w:numPr>
          <w:ilvl w:val="0"/>
          <w:numId w:val="0"/>
        </w:numPr>
        <w:tabs>
          <w:tab w:val="left" w:pos="2496"/>
        </w:tabs>
        <w:spacing w:line="360" w:lineRule="auto"/>
        <w:ind w:leftChars="0"/>
        <w:jc w:val="both"/>
        <w:rPr>
          <w:rFonts w:hint="default" w:ascii="Times New Roman" w:hAnsi="Times New Roman" w:cs="Times New Roman" w:eastAsiaTheme="minorEastAsia"/>
          <w:sz w:val="21"/>
          <w:szCs w:val="21"/>
          <w:lang w:val="en-US" w:eastAsia="zh-CN"/>
        </w:rPr>
      </w:pPr>
    </w:p>
    <w:p w14:paraId="1416B8CB">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细胞的传代</w:t>
      </w:r>
    </w:p>
    <w:p w14:paraId="7B4C76EA">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5204720A">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0.25% Trypsin-0.04% EDTA（货号：SD-TEDTA-10001，以下简称胰酶）</w:t>
      </w:r>
    </w:p>
    <w:p w14:paraId="72802016">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Phosphate-Buffered Saline (1×PBS) （货号：SD-PBS-10001，以下简称PBS）</w:t>
      </w:r>
    </w:p>
    <w:p w14:paraId="24905A43">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 SiDoTek™ 成人脂肪间充质干细胞完全培养基（货号：SD-HUXMD-01001）</w:t>
      </w:r>
    </w:p>
    <w:p w14:paraId="0A539828">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40F6DD76">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将完全培养基、PBS、胰酶预热至37℃。</w:t>
      </w:r>
    </w:p>
    <w:p w14:paraId="0A636801">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吸去培养容器中的培养基。</w:t>
      </w:r>
    </w:p>
    <w:p w14:paraId="76F7AE51">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 用PBS（T25培养瓶加入约3 mL，T75培养瓶加入约6 mL）洗涤细胞2次，注意动作轻柔，清洗全面。吸去PBS。</w:t>
      </w:r>
    </w:p>
    <w:p w14:paraId="5A72DAA2">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 加入胰酶（T25培养瓶加入约1.5 mL，T75培养瓶加入约3 mL），迅速铺匀，保证充分接触细胞表面。</w:t>
      </w:r>
    </w:p>
    <w:p w14:paraId="0C7A62C2">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 显微镜下观察消化情况，约70%~80%细胞收缩变圆后，轻拍培养容器外壁，使细胞脱离培养表面。</w:t>
      </w:r>
    </w:p>
    <w:p w14:paraId="0618B947">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 立即加入完全培养基（T25培养瓶加入约3 mL，T75培养瓶加入约6 mL），随即轻摇培养容器，使培养基和胰酶迅速混匀，终止消化。</w:t>
      </w:r>
    </w:p>
    <w:p w14:paraId="502CE9F8">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 使用吸管或移液管吸取细胞悬液，吹打培养容器底面数次，尽可能将细胞都吹打下来。</w:t>
      </w:r>
    </w:p>
    <w:p w14:paraId="79617219">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注意：吹打动作不可剧烈，避免产生大量气泡，否则可能损伤和损失细胞。</w:t>
      </w:r>
    </w:p>
    <w:p w14:paraId="7EE1214E">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将细胞悬液转移至离心管中。用PBS（T25培养瓶加入约3 mL，T75培养瓶加入约6 mL） 洗涤容器1次，收集残留细胞。</w:t>
      </w:r>
    </w:p>
    <w:p w14:paraId="22C71750">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收集的所有细胞悬液以250×g离心4 min。</w:t>
      </w:r>
    </w:p>
    <w:p w14:paraId="0C564599">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离心后去除上清。加入2 mL完全培养基，轻柔吹打细胞沉淀，充分吹散、混匀。</w:t>
      </w:r>
    </w:p>
    <w:p w14:paraId="058BD54F">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将细胞按（2.5~4）×10</w:t>
      </w:r>
      <w:r>
        <w:rPr>
          <w:rFonts w:hint="default" w:ascii="Times New Roman" w:hAnsi="Times New Roman" w:cs="Times New Roman" w:eastAsiaTheme="minorEastAsia"/>
          <w:sz w:val="21"/>
          <w:szCs w:val="21"/>
          <w:vertAlign w:val="superscript"/>
          <w:lang w:val="en-US" w:eastAsia="zh-CN"/>
        </w:rPr>
        <w:t>4</w:t>
      </w:r>
      <w:r>
        <w:rPr>
          <w:rFonts w:hint="default" w:ascii="Times New Roman" w:hAnsi="Times New Roman" w:cs="Times New Roman" w:eastAsiaTheme="minorEastAsia"/>
          <w:sz w:val="21"/>
          <w:szCs w:val="21"/>
          <w:lang w:val="en-US" w:eastAsia="zh-CN"/>
        </w:rPr>
        <w:t>个活细胞/cm</w:t>
      </w:r>
      <w:r>
        <w:rPr>
          <w:rFonts w:hint="default" w:ascii="Times New Roman" w:hAnsi="Times New Roman" w:cs="Times New Roman" w:eastAsiaTheme="minorEastAsia"/>
          <w:sz w:val="21"/>
          <w:szCs w:val="21"/>
          <w:vertAlign w:val="superscript"/>
          <w:lang w:val="en-US" w:eastAsia="zh-CN"/>
        </w:rPr>
        <w:t>2</w:t>
      </w:r>
      <w:r>
        <w:rPr>
          <w:rFonts w:hint="default" w:ascii="Times New Roman" w:hAnsi="Times New Roman" w:cs="Times New Roman" w:eastAsiaTheme="minorEastAsia"/>
          <w:sz w:val="21"/>
          <w:szCs w:val="21"/>
          <w:lang w:val="en-US" w:eastAsia="zh-CN"/>
        </w:rPr>
        <w:t>接种至适宜的培养容器内。</w:t>
      </w:r>
    </w:p>
    <w:p w14:paraId="0A69A033">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培养成人脂肪间充质干细胞对于细胞密度有较高的要求，我们建议有条件且计数效率较高的情况下，进行手工计数，以期获得精准的细胞浓度指导接种；在没有精确计数条件的情况下，按照适宜比例传代是更好的方法。通常SiDoTek™ 成人脂肪间充质干细胞传代比例为1:3，72 h内生长至可传代汇合度。请根据细胞实际生长情况调整传代比例。</w:t>
      </w:r>
    </w:p>
    <w:p w14:paraId="3B10F163">
      <w:pPr>
        <w:numPr>
          <w:ilvl w:val="0"/>
          <w:numId w:val="4"/>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摇匀细胞，放入37℃、5% 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饱和湿度的CO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培养箱中。</w:t>
      </w:r>
    </w:p>
    <w:p w14:paraId="5EF5ED52">
      <w:pPr>
        <w:numPr>
          <w:ilvl w:val="0"/>
          <w:numId w:val="4"/>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传代次日，观察细胞状态。若发现较多漂浮细胞，应予以换液。</w:t>
      </w:r>
    </w:p>
    <w:p w14:paraId="52DFFAB3">
      <w:p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14. 待细胞生长至90%汇合，即需传代或冻存。</w:t>
      </w:r>
    </w:p>
    <w:p w14:paraId="151C8ED7">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注意：正常情况下SiDoTek™ 成人脂肪间充质干细胞每代生长时间不超过72 h，中途不需要换液。频繁换液会破坏构建起的细胞微环境。</w:t>
      </w:r>
    </w:p>
    <w:p w14:paraId="7439CEE0">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p>
    <w:p w14:paraId="0FDC29B8">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细胞的冻存</w:t>
      </w:r>
    </w:p>
    <w:p w14:paraId="272EFB93">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224763E0">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通用无蛋白非程序冻存液（货号：SD-NCPF-10001）</w:t>
      </w:r>
    </w:p>
    <w:p w14:paraId="2367608A">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通用血清型程序冻存液（货号：SD-CYRO-10001）</w:t>
      </w:r>
    </w:p>
    <w:p w14:paraId="4CA4F323">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52790C58">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若选用SiDoTek™ 通用血清型程序冻存液，请在操作前将程序降温盒放入4℃冰箱内预冷。</w:t>
      </w:r>
    </w:p>
    <w:p w14:paraId="2B5B067F">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待细胞生长至可传代的密度，即可准备冻存。</w:t>
      </w:r>
    </w:p>
    <w:p w14:paraId="41A88A07">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 细胞消化请参考SiDoTek™ 成人脂肪间充质干细胞的传代操作步骤1~9。</w:t>
      </w:r>
    </w:p>
    <w:p w14:paraId="6C3EA7FA">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 离心后去除上清，用适量冻存液均匀重悬细胞。</w:t>
      </w:r>
    </w:p>
    <w:p w14:paraId="6DB25C74">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 将细胞按比例或数量分装至冻存管中。</w:t>
      </w:r>
    </w:p>
    <w:p w14:paraId="6BA565F2">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在没有成熟的计数条件下，我们建议将细胞按比例分装冻存即可，长时间在非培养条件下放置会严重影响细胞的状态。在计数时，我们建议将细胞放置于4℃冰箱内，以减弱细胞代谢，较好地保持细胞状态。</w:t>
      </w:r>
    </w:p>
    <w:p w14:paraId="2A10CF43">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 若选用SiDoTek™ 通用血清型程序冻存液，将冻存管放入预冷的程序降温盒中，再将程序降温盒放入-80℃冰箱中。若选用SiDoTek™ 通用无蛋白非程序冻存液，请将冻存管直接分散放入-80℃冰箱中。</w:t>
      </w:r>
    </w:p>
    <w:p w14:paraId="781D94D2">
      <w:pPr>
        <w:tabs>
          <w:tab w:val="left" w:pos="2496"/>
        </w:tabs>
        <w:spacing w:line="360" w:lineRule="auto"/>
        <w:ind w:firstLine="422"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注意：细胞冻存期间，特别是开始冻存的4 h内，不可打开冰箱门，这将严重影响细胞冷冻存活率。</w:t>
      </w:r>
    </w:p>
    <w:p w14:paraId="7C49CFD1">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 8 h后即可将细胞转移入液氮长期保存。</w:t>
      </w:r>
    </w:p>
    <w:p w14:paraId="363CF905">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注意：细胞不可长期保存在-80℃冰箱中。我们建议在-80℃冰箱中的保存时间不要超过48 h。</w:t>
      </w:r>
    </w:p>
    <w:p w14:paraId="01B656A1">
      <w:pPr>
        <w:tabs>
          <w:tab w:val="left" w:pos="2496"/>
        </w:tabs>
        <w:spacing w:line="360" w:lineRule="auto"/>
        <w:rPr>
          <w:rFonts w:hint="default" w:ascii="Times New Roman" w:hAnsi="Times New Roman" w:cs="Times New Roman" w:eastAsiaTheme="minorEastAsia"/>
          <w:b/>
          <w:bCs/>
          <w:sz w:val="21"/>
          <w:szCs w:val="21"/>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C9F4E">
    <w:pPr>
      <w:pStyle w:val="3"/>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column">
                <wp:posOffset>904240</wp:posOffset>
              </wp:positionH>
              <wp:positionV relativeFrom="paragraph">
                <wp:posOffset>74295</wp:posOffset>
              </wp:positionV>
              <wp:extent cx="6103620" cy="692785"/>
              <wp:effectExtent l="0" t="0" r="11430" b="12065"/>
              <wp:wrapNone/>
              <wp:docPr id="5" name="自选图形 8"/>
              <wp:cNvGraphicFramePr/>
              <a:graphic xmlns:a="http://schemas.openxmlformats.org/drawingml/2006/main">
                <a:graphicData uri="http://schemas.microsoft.com/office/word/2010/wordprocessingShape">
                  <wps:wsp>
                    <wps:cNvSpPr/>
                    <wps:spPr>
                      <a:xfrm rot="10800000">
                        <a:off x="0" y="0"/>
                        <a:ext cx="6103620" cy="692785"/>
                      </a:xfrm>
                      <a:custGeom>
                        <a:avLst/>
                        <a:gdLst>
                          <a:gd name="txL" fmla="*/ 2437 w 21600"/>
                          <a:gd name="txT" fmla="*/ 2437 h 21600"/>
                          <a:gd name="txR" fmla="*/ 19162 w 21600"/>
                          <a:gd name="txB" fmla="*/ 19162 h 21600"/>
                        </a:gdLst>
                        <a:ahLst/>
                        <a:cxnLst>
                          <a:cxn ang="0">
                            <a:pos x="20962" y="10800"/>
                          </a:cxn>
                          <a:cxn ang="90">
                            <a:pos x="10800" y="21600"/>
                          </a:cxn>
                          <a:cxn ang="180">
                            <a:pos x="637" y="10800"/>
                          </a:cxn>
                          <a:cxn ang="270">
                            <a:pos x="10800" y="0"/>
                          </a:cxn>
                        </a:cxnLst>
                        <a:rect l="txL" t="txT" r="txR" b="txB"/>
                        <a:pathLst>
                          <a:path w="21600" h="21600">
                            <a:moveTo>
                              <a:pt x="0" y="0"/>
                            </a:moveTo>
                            <a:lnTo>
                              <a:pt x="1275" y="21600"/>
                            </a:lnTo>
                            <a:lnTo>
                              <a:pt x="20325" y="21600"/>
                            </a:lnTo>
                            <a:lnTo>
                              <a:pt x="21600" y="0"/>
                            </a:lnTo>
                            <a:close/>
                          </a:path>
                        </a:pathLst>
                      </a:custGeom>
                      <a:solidFill>
                        <a:srgbClr val="8CBB35">
                          <a:alpha val="59999"/>
                        </a:srgbClr>
                      </a:solidFill>
                      <a:ln>
                        <a:noFill/>
                      </a:ln>
                    </wps:spPr>
                    <wps:bodyPr vert="horz" anchor="t" anchorCtr="0" upright="1"/>
                  </wps:wsp>
                </a:graphicData>
              </a:graphic>
            </wp:anchor>
          </w:drawing>
        </mc:Choice>
        <mc:Fallback>
          <w:pict>
            <v:shape id="自选图形 8" o:spid="_x0000_s1026" o:spt="100" style="position:absolute;left:0pt;margin-left:71.2pt;margin-top:5.85pt;height:54.55pt;width:480.6pt;rotation:11796480f;z-index:251663360;mso-width-relative:page;mso-height-relative:page;" fillcolor="#8CBB35" filled="t" stroked="f" coordsize="21600,21600" o:gfxdata="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BuYn5T1QAAAAsB&#10;AAAPAAAAAAAAAAEAIAAAACIAAABkcnMvZG93bnJldi54bWxQSwECFAAUAAAACACHTuJAIC2Ch8kC&#10;AABnBgAADgAAAAAAAAABACAAAAAkAQAAZHJzL2Uyb0RvYy54bWxQSwUGAAAAAAYABgBZAQAAXwYA&#10;AAAA&#10;" path="m0,0l1275,21600,20325,21600,21600,0xe">
              <v:path o:connectlocs="20962,10800;10800,21600;637,10800;10800,0" o:connectangles="0,0,0,0"/>
              <v:fill on="t" opacity="39320f" focussize="0,0"/>
              <v:stroke on="f"/>
              <v:imagedata o:title=""/>
              <o:lock v:ext="edit" aspectratio="f"/>
            </v:shape>
          </w:pict>
        </mc:Fallback>
      </mc:AlternateContent>
    </w:r>
    <w:r>
      <w:rPr>
        <w:rFonts w:hint="eastAsia" w:eastAsia="宋体"/>
        <w:lang w:eastAsia="zh-CN"/>
      </w:rPr>
      <w:drawing>
        <wp:anchor distT="0" distB="0" distL="114300" distR="114300" simplePos="0" relativeHeight="251664384" behindDoc="0" locked="0" layoutInCell="1" allowOverlap="1">
          <wp:simplePos x="0" y="0"/>
          <wp:positionH relativeFrom="column">
            <wp:posOffset>-1059180</wp:posOffset>
          </wp:positionH>
          <wp:positionV relativeFrom="paragraph">
            <wp:posOffset>210820</wp:posOffset>
          </wp:positionV>
          <wp:extent cx="1811020" cy="721995"/>
          <wp:effectExtent l="0" t="0" r="17780" b="0"/>
          <wp:wrapNone/>
          <wp:docPr id="6" name="图片 11"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西岛生物 SiDoTek 横板_画板 1"/>
                  <pic:cNvPicPr>
                    <a:picLocks noChangeAspect="1"/>
                  </pic:cNvPicPr>
                </pic:nvPicPr>
                <pic:blipFill>
                  <a:blip r:embed="rId1"/>
                  <a:stretch>
                    <a:fillRect/>
                  </a:stretch>
                </pic:blipFill>
                <pic:spPr>
                  <a:xfrm>
                    <a:off x="0" y="0"/>
                    <a:ext cx="1811020" cy="721995"/>
                  </a:xfrm>
                  <a:prstGeom prst="rect">
                    <a:avLst/>
                  </a:prstGeom>
                  <a:noFill/>
                  <a:ln>
                    <a:noFill/>
                  </a:ln>
                </pic:spPr>
              </pic:pic>
            </a:graphicData>
          </a:graphic>
        </wp:anchor>
      </w:drawing>
    </w:r>
    <w:r>
      <w:rPr>
        <w:sz w:val="18"/>
      </w:rPr>
      <mc:AlternateContent>
        <mc:Choice Requires="wps">
          <w:drawing>
            <wp:anchor distT="0" distB="0" distL="114300" distR="114300" simplePos="0" relativeHeight="251659264" behindDoc="0" locked="0" layoutInCell="1" allowOverlap="1">
              <wp:simplePos x="0" y="0"/>
              <wp:positionH relativeFrom="column">
                <wp:posOffset>-1138555</wp:posOffset>
              </wp:positionH>
              <wp:positionV relativeFrom="paragraph">
                <wp:posOffset>365125</wp:posOffset>
              </wp:positionV>
              <wp:extent cx="7585710" cy="414020"/>
              <wp:effectExtent l="0" t="0" r="15240" b="5080"/>
              <wp:wrapNone/>
              <wp:docPr id="1" name="矩形 9"/>
              <wp:cNvGraphicFramePr/>
              <a:graphic xmlns:a="http://schemas.openxmlformats.org/drawingml/2006/main">
                <a:graphicData uri="http://schemas.microsoft.com/office/word/2010/wordprocessingShape">
                  <wps:wsp>
                    <wps:cNvSpPr/>
                    <wps:spPr>
                      <a:xfrm>
                        <a:off x="759460" y="5626735"/>
                        <a:ext cx="7585710" cy="414020"/>
                      </a:xfrm>
                      <a:prstGeom prst="rect">
                        <a:avLst/>
                      </a:prstGeom>
                      <a:solidFill>
                        <a:srgbClr val="45B2B4">
                          <a:alpha val="59999"/>
                        </a:srgbClr>
                      </a:solidFill>
                      <a:ln w="9525">
                        <a:noFill/>
                      </a:ln>
                    </wps:spPr>
                    <wps:bodyPr vert="horz" anchor="t" anchorCtr="0" upright="1"/>
                  </wps:wsp>
                </a:graphicData>
              </a:graphic>
            </wp:anchor>
          </w:drawing>
        </mc:Choice>
        <mc:Fallback>
          <w:pict>
            <v:rect id="矩形 9" o:spid="_x0000_s1026" o:spt="1" style="position:absolute;left:0pt;margin-left:-89.65pt;margin-top:28.75pt;height:32.6pt;width:597.3pt;z-index:251659264;mso-width-relative:page;mso-height-relative:page;" fillcolor="#45B2B4" filled="t" stroked="f" coordsize="21600,21600" o:gfxdata="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Un1ZXbAAAADAEAAA8AAAAAAAAAAQAgAAAAIgAAAGRycy9kb3ducmV2LnhtbFBLAQIUABQAAAAI&#10;AIdO4kA6Zy5T6gEAALkDAAAOAAAAAAAAAAEAIAAAACoBAABkcnMvZTJvRG9jLnhtbFBLBQYAAAAA&#10;BgAGAFkBAACGBQAAAAA=&#10;">
              <v:fill on="t" opacity="39320f" focussize="0,0"/>
              <v:stroke on="f"/>
              <v:imagedata o:title=""/>
              <o:lock v:ext="edit" aspectratio="f"/>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F9DD7">
    <w:pPr>
      <w:pStyle w:val="4"/>
      <w:rPr>
        <w:rFonts w:hint="eastAsia" w:eastAsia="宋体"/>
        <w:lang w:eastAsia="zh-CN"/>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-1087755</wp:posOffset>
          </wp:positionH>
          <wp:positionV relativeFrom="paragraph">
            <wp:posOffset>-607060</wp:posOffset>
          </wp:positionV>
          <wp:extent cx="1633855" cy="651510"/>
          <wp:effectExtent l="0" t="0" r="0" b="0"/>
          <wp:wrapNone/>
          <wp:docPr id="4" name="图片 5"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西岛生物 SiDoTek 横板_画板 1"/>
                  <pic:cNvPicPr>
                    <a:picLocks noChangeAspect="1"/>
                  </pic:cNvPicPr>
                </pic:nvPicPr>
                <pic:blipFill>
                  <a:blip r:embed="rId1"/>
                  <a:stretch>
                    <a:fillRect/>
                  </a:stretch>
                </pic:blipFill>
                <pic:spPr>
                  <a:xfrm>
                    <a:off x="0" y="0"/>
                    <a:ext cx="1633855" cy="651510"/>
                  </a:xfrm>
                  <a:prstGeom prst="rect">
                    <a:avLst/>
                  </a:prstGeom>
                  <a:noFill/>
                  <a:ln>
                    <a:noFill/>
                  </a:ln>
                </pic:spPr>
              </pic:pic>
            </a:graphicData>
          </a:graphic>
        </wp:anchor>
      </w:drawing>
    </w:r>
    <w:r>
      <w:rPr>
        <w:sz w:val="18"/>
      </w:rPr>
      <mc:AlternateContent>
        <mc:Choice Requires="wps">
          <w:drawing>
            <wp:anchor distT="0" distB="0" distL="114300" distR="114300" simplePos="0" relativeHeight="251661312" behindDoc="0" locked="0" layoutInCell="1" allowOverlap="1">
              <wp:simplePos x="0" y="0"/>
              <wp:positionH relativeFrom="column">
                <wp:posOffset>925195</wp:posOffset>
              </wp:positionH>
              <wp:positionV relativeFrom="paragraph">
                <wp:posOffset>-548640</wp:posOffset>
              </wp:positionV>
              <wp:extent cx="6003290" cy="678815"/>
              <wp:effectExtent l="0" t="0" r="16510" b="6985"/>
              <wp:wrapNone/>
              <wp:docPr id="3" name="自选图形 4"/>
              <wp:cNvGraphicFramePr/>
              <a:graphic xmlns:a="http://schemas.openxmlformats.org/drawingml/2006/main">
                <a:graphicData uri="http://schemas.microsoft.com/office/word/2010/wordprocessingShape">
                  <wps:wsp>
                    <wps:cNvSpPr/>
                    <wps:spPr>
                      <a:xfrm>
                        <a:off x="0" y="0"/>
                        <a:ext cx="6003290" cy="678815"/>
                      </a:xfrm>
                      <a:custGeom>
                        <a:avLst/>
                        <a:gdLst>
                          <a:gd name="txL" fmla="*/ 2369 w 21600"/>
                          <a:gd name="txT" fmla="*/ 2369 h 21600"/>
                          <a:gd name="txR" fmla="*/ 19230 w 21600"/>
                          <a:gd name="txB" fmla="*/ 19230 h 21600"/>
                        </a:gdLst>
                        <a:ahLst/>
                        <a:cxnLst>
                          <a:cxn ang="0">
                            <a:pos x="21030" y="10800"/>
                          </a:cxn>
                          <a:cxn ang="90">
                            <a:pos x="10800" y="21600"/>
                          </a:cxn>
                          <a:cxn ang="180">
                            <a:pos x="569" y="10800"/>
                          </a:cxn>
                          <a:cxn ang="270">
                            <a:pos x="10800" y="0"/>
                          </a:cxn>
                        </a:cxnLst>
                        <a:rect l="txL" t="txT" r="txR" b="txB"/>
                        <a:pathLst>
                          <a:path w="21600" h="21600">
                            <a:moveTo>
                              <a:pt x="0" y="0"/>
                            </a:moveTo>
                            <a:lnTo>
                              <a:pt x="1139" y="21600"/>
                            </a:lnTo>
                            <a:lnTo>
                              <a:pt x="20461" y="21600"/>
                            </a:lnTo>
                            <a:lnTo>
                              <a:pt x="21600" y="0"/>
                            </a:lnTo>
                            <a:close/>
                          </a:path>
                        </a:pathLst>
                      </a:custGeom>
                      <a:solidFill>
                        <a:srgbClr val="45B2B4">
                          <a:alpha val="59999"/>
                        </a:srgbClr>
                      </a:solidFill>
                      <a:ln>
                        <a:noFill/>
                      </a:ln>
                    </wps:spPr>
                    <wps:bodyPr vert="horz" anchor="t" anchorCtr="0" upright="1"/>
                  </wps:wsp>
                </a:graphicData>
              </a:graphic>
            </wp:anchor>
          </w:drawing>
        </mc:Choice>
        <mc:Fallback>
          <w:pict>
            <v:shape id="自选图形 4" o:spid="_x0000_s1026" o:spt="100" style="position:absolute;left:0pt;margin-left:72.85pt;margin-top:-43.2pt;height:53.45pt;width:472.7pt;z-index:251661312;mso-width-relative:page;mso-height-relative:page;" fillcolor="#45B2B4" filled="t" stroked="f" coordsize="21600,21600" o:gfxdata="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B6h0S93QAA&#10;AAsBAAAPAAAAAAAAAAEAIAAAACIAAABkcnMvZG93bnJldi54bWxQSwECFAAUAAAACACHTuJA/jsb&#10;/sQCAABYBgAADgAAAAAAAAABACAAAAAsAQAAZHJzL2Uyb0RvYy54bWxQSwUGAAAAAAYABgBZAQAA&#10;YgYAAAAA&#10;" path="m0,0l1139,21600,20461,21600,21600,0xe">
              <v:path o:connectlocs="21030,10800;10800,21600;569,10800;10800,0" o:connectangles="0,0,0,0"/>
              <v:fill on="t" opacity="39320f" focussize="0,0"/>
              <v:stroke on="f"/>
              <v:imagedata o:title=""/>
              <o:lock v:ext="edit" aspectratio="f"/>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-551180</wp:posOffset>
              </wp:positionV>
              <wp:extent cx="6348095" cy="468630"/>
              <wp:effectExtent l="0" t="0" r="14605" b="7620"/>
              <wp:wrapNone/>
              <wp:docPr id="2" name="自选图形 3"/>
              <wp:cNvGraphicFramePr/>
              <a:graphic xmlns:a="http://schemas.openxmlformats.org/drawingml/2006/main">
                <a:graphicData uri="http://schemas.microsoft.com/office/word/2010/wordprocessingShape">
                  <wps:wsp>
                    <wps:cNvSpPr/>
                    <wps:spPr>
                      <a:xfrm>
                        <a:off x="1704340" y="800100"/>
                        <a:ext cx="6348095" cy="468630"/>
                      </a:xfrm>
                      <a:custGeom>
                        <a:avLst/>
                        <a:gdLst>
                          <a:gd name="txL" fmla="*/ 2172 w 21600"/>
                          <a:gd name="txT" fmla="*/ 2172 h 21600"/>
                          <a:gd name="txR" fmla="*/ 19427 w 21600"/>
                          <a:gd name="txB" fmla="*/ 19427 h 21600"/>
                        </a:gdLst>
                        <a:ahLst/>
                        <a:cxnLst>
                          <a:cxn ang="0">
                            <a:pos x="21227" y="10800"/>
                          </a:cxn>
                          <a:cxn ang="90">
                            <a:pos x="10800" y="21600"/>
                          </a:cxn>
                          <a:cxn ang="180">
                            <a:pos x="372" y="10800"/>
                          </a:cxn>
                          <a:cxn ang="270">
                            <a:pos x="10800" y="0"/>
                          </a:cxn>
                        </a:cxnLst>
                        <a:rect l="txL" t="txT" r="txR" b="txB"/>
                        <a:pathLst>
                          <a:path w="21600" h="21600">
                            <a:moveTo>
                              <a:pt x="0" y="0"/>
                            </a:moveTo>
                            <a:lnTo>
                              <a:pt x="745" y="21600"/>
                            </a:lnTo>
                            <a:lnTo>
                              <a:pt x="20855" y="21600"/>
                            </a:lnTo>
                            <a:lnTo>
                              <a:pt x="21600" y="0"/>
                            </a:lnTo>
                            <a:close/>
                          </a:path>
                        </a:pathLst>
                      </a:custGeom>
                      <a:solidFill>
                        <a:srgbClr val="8CBB35">
                          <a:alpha val="59999"/>
                        </a:srgbClr>
                      </a:solidFill>
                      <a:ln w="9525">
                        <a:noFill/>
                      </a:ln>
                    </wps:spPr>
                    <wps:bodyPr vert="horz" anchor="t" anchorCtr="0" upright="1"/>
                  </wps:wsp>
                </a:graphicData>
              </a:graphic>
            </wp:anchor>
          </w:drawing>
        </mc:Choice>
        <mc:Fallback>
          <w:pict>
            <v:shape id="自选图形 3" o:spid="_x0000_s1026" o:spt="100" style="position:absolute;left:0pt;margin-left:42.75pt;margin-top:-43.4pt;height:36.9pt;width:499.85pt;z-index:251660288;mso-width-relative:page;mso-height-relative:page;" fillcolor="#8CBB35" filled="t" stroked="f" coordsize="21600,21600" o:gfxdata="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O73Q7HZAAAACwEAAA8AAAAAAAAAAQAgAAAAIgAAAGRycy9kb3ducmV2LnhtbFBLAQIUABQAAAAI&#10;AIdO4kCNBcsm0AIAAGsGAAAOAAAAAAAAAAEAIAAAACgBAABkcnMvZTJvRG9jLnhtbFBLBQYAAAAA&#10;BgAGAFkBAABqBgAAAAA=&#10;" path="m0,0l745,21600,20855,21600,21600,0xe">
              <v:path o:connectlocs="21227,10800;10800,21600;372,10800;10800,0" o:connectangles="0,0,0,0"/>
              <v:fill on="t" opacity="39320f"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016514"/>
    <w:multiLevelType w:val="singleLevel"/>
    <w:tmpl w:val="4E016514"/>
    <w:lvl w:ilvl="0" w:tentative="0">
      <w:start w:val="1"/>
      <w:numFmt w:val="decimal"/>
      <w:suff w:val="space"/>
      <w:lvlText w:val="%1."/>
      <w:lvlJc w:val="left"/>
    </w:lvl>
  </w:abstractNum>
  <w:abstractNum w:abstractNumId="1">
    <w:nsid w:val="54F88A71"/>
    <w:multiLevelType w:val="singleLevel"/>
    <w:tmpl w:val="54F88A71"/>
    <w:lvl w:ilvl="0" w:tentative="0">
      <w:start w:val="1"/>
      <w:numFmt w:val="decimal"/>
      <w:suff w:val="space"/>
      <w:lvlText w:val="%1."/>
      <w:lvlJc w:val="left"/>
    </w:lvl>
  </w:abstractNum>
  <w:abstractNum w:abstractNumId="2">
    <w:nsid w:val="5B7624C0"/>
    <w:multiLevelType w:val="singleLevel"/>
    <w:tmpl w:val="5B7624C0"/>
    <w:lvl w:ilvl="0" w:tentative="0">
      <w:start w:val="1"/>
      <w:numFmt w:val="decimal"/>
      <w:suff w:val="space"/>
      <w:lvlText w:val="%1."/>
      <w:lvlJc w:val="left"/>
    </w:lvl>
  </w:abstractNum>
  <w:abstractNum w:abstractNumId="3">
    <w:nsid w:val="7B22C6C5"/>
    <w:multiLevelType w:val="singleLevel"/>
    <w:tmpl w:val="7B22C6C5"/>
    <w:lvl w:ilvl="0" w:tentative="0">
      <w:start w:val="8"/>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2E3MDJkMmQxZDBiZDZmNmI4ZWUzNDNiOTAxZWYifQ=="/>
  </w:docVars>
  <w:rsids>
    <w:rsidRoot w:val="00000000"/>
    <w:rsid w:val="141E72D3"/>
    <w:rsid w:val="2A886554"/>
    <w:rsid w:val="2E277C09"/>
    <w:rsid w:val="36BB29CB"/>
    <w:rsid w:val="3CAD3393"/>
    <w:rsid w:val="4CEC4C96"/>
    <w:rsid w:val="505D4C08"/>
    <w:rsid w:val="5D8A7BAD"/>
    <w:rsid w:val="5E1B16CF"/>
    <w:rsid w:val="5EA67D62"/>
    <w:rsid w:val="5F331A3A"/>
    <w:rsid w:val="67265EE2"/>
    <w:rsid w:val="67952F01"/>
    <w:rsid w:val="6A8B3FD6"/>
    <w:rsid w:val="6D0B1E05"/>
    <w:rsid w:val="70653C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autoRedefine/>
    <w:semiHidden/>
    <w:qFormat/>
    <w:uiPriority w:val="0"/>
    <w:rPr>
      <w:rFonts w:ascii="微软雅黑" w:hAnsi="微软雅黑" w:eastAsia="微软雅黑" w:cs="微软雅黑"/>
      <w:sz w:val="20"/>
      <w:szCs w:val="20"/>
      <w:lang w:val="en-US" w:eastAsia="en-US" w:bidi="ar-SA"/>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2654</Words>
  <Characters>3154</Characters>
  <Lines>0</Lines>
  <Paragraphs>0</Paragraphs>
  <TotalTime>0</TotalTime>
  <ScaleCrop>false</ScaleCrop>
  <LinksUpToDate>false</LinksUpToDate>
  <CharactersWithSpaces>3238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2024-03-05T13:30:00Z</dcterms:created>
  <dc:creator>ASUS</dc:creator>
  <cp:lastModifiedBy>杨凯尧</cp:lastModifiedBy>
  <dcterms:modified xsi:type="dcterms:W3CDTF">2024-12-13T01:55:14Z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20DC37BDB0D64A7F9202799E5F6C71B4_13</vt:lpwstr>
  </property>
</Properties>
</file>