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SiDoTek™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2×Blue Universal SYBR qPCR Master Mix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2×蓝色通用SYBR Green qPCR 预混液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目录号：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DMR3-2a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储存条件：-30 ~ -15℃避光保存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年，≤0℃避光运输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0"/>
          <w:szCs w:val="20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bookmarkStart w:id="0" w:name="OLE_LINK1"/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产品内容：</w:t>
      </w:r>
    </w:p>
    <w:bookmarkEnd w:id="0"/>
    <w:tbl>
      <w:tblPr>
        <w:tblStyle w:val="5"/>
        <w:tblW w:w="482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2387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 w:colFirst="1" w:colLast="2"/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145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DMR3-1a</w:t>
            </w:r>
          </w:p>
        </w:tc>
        <w:tc>
          <w:tcPr>
            <w:tcW w:w="146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DMR3-2a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07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2× Blue Universal SYBR qPCR Master Mix</w:t>
            </w:r>
          </w:p>
        </w:tc>
        <w:tc>
          <w:tcPr>
            <w:tcW w:w="145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5×1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0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DNase-free Water</w:t>
            </w: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5×1 mL</w:t>
            </w:r>
          </w:p>
        </w:tc>
      </w:tr>
    </w:tbl>
    <w:p>
      <w:pPr>
        <w:widowControl/>
        <w:spacing w:line="240" w:lineRule="auto"/>
        <w:rPr>
          <w:rFonts w:hint="default" w:ascii="Times New Roman" w:hAnsi="Times New Roman" w:cs="Times New Roman"/>
          <w:color w:val="231F20"/>
          <w:sz w:val="18"/>
          <w:szCs w:val="18"/>
          <w:lang w:bidi="ar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2× Blue Universal SYBR qPCR Master Mix是使用SYBR Green I 嵌合荧光法进行qPCR的2×试剂，颜色为蓝色，具有加样示踪的作用。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其核心组分Taq DNA Polymerase是基于抗体法封闭的热启动DNA聚合酶，可以有效抑制低温条件下的非特异性扩增，同时配以针对qPCR优化的反应Buffer体系，非常适合用于高特异性、高灵敏度的qPCR检测反应，可以在较宽的定量区域内得到良好的标准曲线，从而实现对靶基因的实时检测定量准确、重复性好、可信度高。本品主要成分包括化学修饰的Hot Start Fast Taq DNA Polymerase、</w:t>
      </w:r>
      <w:bookmarkStart w:id="2" w:name="OLE_LINK3"/>
      <w:r>
        <w:rPr>
          <w:rFonts w:hint="default" w:ascii="Times New Roman" w:hAnsi="Times New Roman" w:cs="Times New Roman"/>
          <w:sz w:val="18"/>
          <w:szCs w:val="18"/>
          <w:lang w:eastAsia="zh-CN"/>
        </w:rPr>
        <w:t>dNTP、</w:t>
      </w:r>
      <w:bookmarkEnd w:id="2"/>
      <w:r>
        <w:rPr>
          <w:rFonts w:hint="default" w:ascii="Times New Roman" w:hAnsi="Times New Roman" w:cs="Times New Roman"/>
          <w:sz w:val="18"/>
          <w:szCs w:val="18"/>
          <w:lang w:eastAsia="zh-CN"/>
        </w:rPr>
        <w:t>Mg</w:t>
      </w:r>
      <w:r>
        <w:rPr>
          <w:rFonts w:hint="default" w:ascii="Times New Roman" w:hAnsi="Times New Roman" w:cs="Times New Roman"/>
          <w:b/>
          <w:sz w:val="18"/>
          <w:szCs w:val="18"/>
          <w:vertAlign w:val="superscript"/>
          <w:lang w:eastAsia="zh-CN"/>
        </w:rPr>
        <w:t>2+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、SYBR Green I和针对qPCR优化的最适Buffer。另外，预混液体系中添加了特殊ROX Reference Dye，适用于不同品牌的qPCR 仪器。本产品使用便捷省时，配制反应体系时只需加入引物和模板即可扩增。</w:t>
      </w:r>
    </w:p>
    <w:p>
      <w:pPr>
        <w:spacing w:line="240" w:lineRule="auto"/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注意事项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 为了您的安全和健康，请穿实验服并戴一次性手套操作。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2. 请于使用前确保产品完全解冻，彻底混匀后短暂离心，置于冰上备用，建议全程冰上操作。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3. 反复冻融会影响产品性能，解冻后尽量在一个月内使用完毕。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4. 本产品中含荧光染料SYBR Green I，使用中需注意避光操作。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5.</w:t>
      </w:r>
      <w:r>
        <w:rPr>
          <w:rFonts w:hint="default" w:ascii="Times New Roman" w:hAnsi="Times New Roman" w:cs="Times New Roman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试剂使用前请上下轻轻颠倒混匀，请勿涡旋振荡混匀，避免产生气泡。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6.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 xml:space="preserve"> 反应液的配制、分装请使用新的一次性枪头，尽量避免样品间的交叉污染。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实验流程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推荐体系：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 按照下表配置PCR反应体系（注：配置多个反应孔时，请为各组分预留10%的余量，以免移液损失。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tbl>
      <w:tblPr>
        <w:tblStyle w:val="5"/>
        <w:tblW w:w="494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2308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29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试剂组份</w:t>
            </w:r>
          </w:p>
        </w:tc>
        <w:tc>
          <w:tcPr>
            <w:tcW w:w="137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20μL体系</w:t>
            </w:r>
          </w:p>
        </w:tc>
        <w:tc>
          <w:tcPr>
            <w:tcW w:w="134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50μL体系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29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2× Blue Universal SYBR qPCR Master Mix</w:t>
            </w:r>
          </w:p>
        </w:tc>
        <w:tc>
          <w:tcPr>
            <w:tcW w:w="137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 μL</w:t>
            </w:r>
          </w:p>
        </w:tc>
        <w:tc>
          <w:tcPr>
            <w:tcW w:w="1340" w:type="pct"/>
            <w:tcBorders>
              <w:top w:val="single" w:color="auto" w:sz="4" w:space="0"/>
            </w:tcBorders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25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29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Forward Primer (10μM)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0.4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  <w:tc>
          <w:tcPr>
            <w:tcW w:w="1340" w:type="pct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29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Reverse Primer (10μM)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0.4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  <w:tc>
          <w:tcPr>
            <w:tcW w:w="1340" w:type="pct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29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模板DNA/cDNA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X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  <w:tc>
          <w:tcPr>
            <w:tcW w:w="1340" w:type="pct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X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29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DNase-free Water</w:t>
            </w:r>
          </w:p>
        </w:tc>
        <w:tc>
          <w:tcPr>
            <w:tcW w:w="137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Up to 20 μL</w:t>
            </w:r>
          </w:p>
        </w:tc>
        <w:tc>
          <w:tcPr>
            <w:tcW w:w="1340" w:type="pct"/>
            <w:tcBorders>
              <w:bottom w:val="single" w:color="auto" w:sz="4" w:space="0"/>
            </w:tcBorders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Up to 50 μL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 xml:space="preserve">*通常每条引物终浓度为0.2 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</w:rPr>
        <w:t>μ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M，也可根据情况在0.1~0.4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</w:rPr>
        <w:t>μ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 xml:space="preserve">M 间进行调整。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微量体积加样时误差大，建议批量配制反应体系后分装至八联排管中，再将cDNA模板稀释后加入对应的反应体系中，这样可以有效提高实验的重复性；如模板类型为未稀释cDNA原液，使用体积不应超过qPCR反应总体积的 1/10。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2. 反应体系配好加入模板后，盖好八联排管盖，充分涡旋混匀，离心，避免产生气泡。全程操作需佩戴手套，尽量避免手指按压管盖中心位置。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两步法反应程序设置参考如下：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标准程序</w:t>
      </w:r>
    </w:p>
    <w:tbl>
      <w:tblPr>
        <w:tblStyle w:val="5"/>
        <w:tblW w:w="6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293"/>
        <w:gridCol w:w="900"/>
        <w:gridCol w:w="105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Stage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步骤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循环数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1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预变性/酶激活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2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变性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 sec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退火/延伸/采集信号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60 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40 sec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  <w:tc>
          <w:tcPr>
            <w:tcW w:w="9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5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3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熔解曲线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仪器默认设置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快速程序</w:t>
      </w:r>
    </w:p>
    <w:tbl>
      <w:tblPr>
        <w:tblStyle w:val="5"/>
        <w:tblW w:w="6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293"/>
        <w:gridCol w:w="900"/>
        <w:gridCol w:w="105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Stage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步骤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循环数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1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预变性/酶激活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2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变性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 sec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退火/延伸/采集信号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60 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20 sec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  <w:tc>
          <w:tcPr>
            <w:tcW w:w="9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5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3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熔解曲线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仪器默认设置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*延伸时间请根据您使用的Realtime qPCR仪数据采集最短时间限制以及PCR产物长度自行调整。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*模板拷贝数较低时采用标准程序可提高数据的重现性。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三步法反应程序设置参考如下：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标准程序</w:t>
      </w:r>
    </w:p>
    <w:tbl>
      <w:tblPr>
        <w:tblStyle w:val="5"/>
        <w:tblW w:w="6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32"/>
        <w:gridCol w:w="1061"/>
        <w:gridCol w:w="105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Stage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步骤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循环数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1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预变性/酶激活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2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变性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 sec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退火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延伸/采集信号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55-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℃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sec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 sec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  <w:tc>
          <w:tcPr>
            <w:tcW w:w="9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5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3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熔解曲线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仪器默认设置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快速程序</w:t>
      </w:r>
    </w:p>
    <w:tbl>
      <w:tblPr>
        <w:tblStyle w:val="5"/>
        <w:tblW w:w="6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32"/>
        <w:gridCol w:w="1061"/>
        <w:gridCol w:w="105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Stage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步骤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循环数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1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预变性/酶激活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3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2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变性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95 ℃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sec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退火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延伸/采集信号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55-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℃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sec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sec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  <w:tc>
          <w:tcPr>
            <w:tcW w:w="9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5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Stage 3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熔解曲线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仪器默认设置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*延伸时间请根据您使用的Real-time qPCR仪数据采集最短时间限制以及PCR产物长度自行调整。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*模板拷贝数较低时采用标准程序可提高数据的重现性。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8"/>
          <w:szCs w:val="18"/>
          <w:lang w:eastAsia="zh-CN"/>
        </w:rPr>
        <w:t>若需提高扩增特异性，可使用两步法程序或提高退火温度；若需提高扩增效率，可使用三步法程序或延长延伸时间。</w:t>
      </w:r>
    </w:p>
    <w:p>
      <w:pPr>
        <w:rPr>
          <w:rFonts w:hint="default" w:ascii="Times New Roman" w:hAnsi="Times New Roman" w:cs="Times New Roman"/>
          <w:b/>
          <w:bCs/>
          <w:color w:val="604A7B" w:themeColor="accent4" w:themeShade="BF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604A7B" w:themeColor="accent4" w:themeShade="BF"/>
          <w:sz w:val="24"/>
          <w:szCs w:val="24"/>
          <w:lang w:eastAsia="zh-CN"/>
        </w:rPr>
        <w:br w:type="page"/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结果分析注意事项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定量检测至少需要三个生物学重复，反应结束后需要确认扩增曲线的线形，熔解曲线的峰形。 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 扩增曲线：标准扩增曲线为S型。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Ct值小于10，需要将模板稀释后，重新进行实验（每稀释一倍，Ct值增大1）；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Ct值在30-35之间时，需要提高模板浓度，或者增大反应体系的体积，以提高扩增效率，确保结果分析的准确性； 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Ct值大于35时，检测结果不可信。 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2. 熔解曲线：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熔解曲线单峰，表明反应特异性好可以进行定量结果分析。反之，若熔解曲线出现明显双峰或者多峰，则不能进行定量分析，需要重新设计引物。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常见问题与解决方案</w:t>
      </w:r>
    </w:p>
    <w:p>
      <w:pPr>
        <w:spacing w:line="240" w:lineRule="auto"/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  <w:t>►扩增曲线形状异常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①扩增曲线不光滑：使用的八联排管或PCR板可能与设备不匹配，设备光源可能松动。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②扩增曲线突然骤降：反应管内留有气泡造成。样本离心后上机检测前务必仔细检查反应管内是否有气泡残留。</w:t>
      </w:r>
    </w:p>
    <w:p>
      <w:pPr>
        <w:spacing w:line="240" w:lineRule="auto"/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  <w:t>►反应结束无扩增曲线出现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①循环数不够：一般设置为40个循环。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②确认程序中是否设置了信号采集步骤。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③确认引物、模板是否降解。</w:t>
      </w:r>
    </w:p>
    <w:p>
      <w:pPr>
        <w:spacing w:line="240" w:lineRule="auto"/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  <w:t>►阴性对照出现扩增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①反应体系污染：更换新的Mix、水、引物重复实验。在超净工作台进行反应体系配置，减少气溶胶污染。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②产生引物二聚体，配合溶解曲线进行分析。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③使用含UDG/dUTP 防污染体系的扩增试剂。</w:t>
      </w:r>
    </w:p>
    <w:p>
      <w:pPr>
        <w:spacing w:line="240" w:lineRule="auto"/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122A88"/>
          <w:sz w:val="18"/>
          <w:szCs w:val="18"/>
          <w:lang w:eastAsia="zh-CN"/>
        </w:rPr>
        <w:t>►实验重复性差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①加样体积失准：建议使用大体积加样以减少误差。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②模板浓度太低：模板浓度越低，重复性越差，减少模板稀释倍数或增加加入的模板体积。</w:t>
      </w:r>
    </w:p>
    <w:p>
      <w:pPr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③反应体系未充分混匀：上机检测前将反应体系充分混匀后离心再上机。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0F7F7D"/>
          <w:sz w:val="20"/>
          <w:szCs w:val="20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lang w:eastAsia="zh-CN"/>
        </w:rPr>
      </w:pPr>
    </w:p>
    <w:p>
      <w:pPr>
        <w:tabs>
          <w:tab w:val="left" w:pos="2496"/>
        </w:tabs>
        <w:spacing w:line="24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141E72D3"/>
    <w:rsid w:val="2A886554"/>
    <w:rsid w:val="35AD5156"/>
    <w:rsid w:val="4CBA1085"/>
    <w:rsid w:val="624356CD"/>
    <w:rsid w:val="64AB11CC"/>
    <w:rsid w:val="6A8B3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